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40"/>
      </w:pPr>
      <w:r>
        <w:rPr>
          <w:rFonts w:ascii="Calibri" w:hAnsi="Calibri"/>
          <w:b/>
          <w:i w:val="0"/>
          <w:color w:val="2563EB"/>
          <w:sz w:val="18"/>
        </w:rPr>
        <w:t>FREE PROCUREMENT TEMPLATE</w:t>
      </w:r>
    </w:p>
    <w:p>
      <w:pPr>
        <w:keepNext/>
        <w:spacing w:before="0" w:after="120"/>
      </w:pPr>
      <w:r>
        <w:rPr>
          <w:rFonts w:ascii="Calibri" w:hAnsi="Calibri"/>
          <w:b/>
          <w:i w:val="0"/>
          <w:color w:val="0F172A"/>
          <w:sz w:val="56"/>
        </w:rPr>
        <w:t>Supplier Due Diligence Checklist</w:t>
      </w:r>
    </w:p>
    <w:p>
      <w:pPr>
        <w:spacing w:before="0" w:after="280"/>
      </w:pPr>
      <w:r>
        <w:rPr>
          <w:rFonts w:ascii="Calibri" w:hAnsi="Calibri"/>
          <w:b w:val="0"/>
          <w:i w:val="0"/>
          <w:color w:val="64748B"/>
          <w:sz w:val="26"/>
        </w:rPr>
        <w:t>A risk-based review template for onboarding and periodic reassessment.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1800"/>
        <w:gridCol w:w="7560"/>
      </w:tblGrid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Purpose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Document evidence, rate material risks, assign actions, and support a defensible supplier-approval decision.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How to use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Replace bracketed prompts, adapt the criteria to your category, and retain an auditable approval trail.</w:t>
            </w:r>
          </w:p>
        </w:tc>
      </w:tr>
    </w:tbl>
    <w:p/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EF3C7"/>
          </w:tcPr>
          <w:p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 xml:space="preserve">Proportionality: </w:t>
            </w:r>
            <w:r>
              <w:rPr>
                <w:rFonts w:ascii="Calibri" w:hAnsi="Calibri"/>
                <w:b w:val="0"/>
                <w:i w:val="0"/>
                <w:color w:val="1E293B"/>
                <w:sz w:val="20"/>
              </w:rPr>
              <w:t>Apply deeper checks to critical suppliers, sensitive data, regulated scope, high-risk countries, and difficult-to-replace supply. Record why any check is not applicable.</w:t>
            </w:r>
          </w:p>
        </w:tc>
      </w:tr>
    </w:tbl>
    <w:p/>
    <w:p>
      <w:pPr>
        <w:pStyle w:val="Heading1"/>
      </w:pPr>
      <w:r>
        <w:t>1. Review Profile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2400"/>
        <w:gridCol w:w="6960"/>
      </w:tblGrid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Supplier legal name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[Legal entity and trading name]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Category / scope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[Products, services, locations, data access]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Business owner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[Name and function]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Procurement owner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[Name and function]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Criticality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[Low / Medium / High / Critical]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Review type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[New onboarding / renewal / event-driven / periodic]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Review date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[YYYY-MM-DD]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Next review due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[YYYY-MM-DD]</w:t>
            </w:r>
          </w:p>
        </w:tc>
      </w:tr>
    </w:tbl>
    <w:p>
      <w:pPr>
        <w:pStyle w:val="Heading1"/>
      </w:pPr>
      <w:r>
        <w:t>2. Corporate, Legal, and Ownership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720"/>
        <w:gridCol w:w="3600"/>
        <w:gridCol w:w="3600"/>
        <w:gridCol w:w="1440"/>
      </w:tblGrid>
      <w:tr>
        <w:trPr>
          <w:tblHeader w:val="true"/>
        </w:trP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Check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Requirement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Evidence / comments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Risk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Legal registration, registered address, and company number verified.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Ultimate beneficial ownership and control structure identified.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Directors and authorized signatories verified.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Required licenses, permits, and professional certifications are valid.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Material litigation, insolvency, or regulatory actions reviewed.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Conflicts of interest disclosed and assessed.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</w:tbl>
    <w:p>
      <w:r>
        <w:br w:type="page"/>
      </w:r>
    </w:p>
    <w:p>
      <w:pPr>
        <w:pStyle w:val="Heading1"/>
      </w:pPr>
      <w:r>
        <w:t>3. Financial Health and Insurance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720"/>
        <w:gridCol w:w="3600"/>
        <w:gridCol w:w="3600"/>
        <w:gridCol w:w="1440"/>
      </w:tblGrid>
      <w:tr>
        <w:trPr>
          <w:tblHeader w:val="true"/>
        </w:trP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Check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Requirement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Evidence / comments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Risk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Latest audited or management financial statements obtained.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Liquidity, profitability, leverage, and cash-flow indicators assessed.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Credit rating or external financial-risk information reviewed where appropriate.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Revenue concentration and dependency on major customers considered.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Required insurance coverage, limits, exclusions, and expiry dates verified.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Financial monitoring triggers and escalation owner agreed.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</w:tbl>
    <w:p>
      <w:pPr>
        <w:pStyle w:val="Heading1"/>
      </w:pPr>
      <w:r>
        <w:t>4. Operational Capability and Quality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720"/>
        <w:gridCol w:w="3600"/>
        <w:gridCol w:w="3600"/>
        <w:gridCol w:w="1440"/>
      </w:tblGrid>
      <w:tr>
        <w:trPr>
          <w:tblHeader w:val="true"/>
        </w:trP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Check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Requirement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Evidence / comments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Risk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Capacity, utilization, lead time, and growth capability validated.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Quality-management system and relevant certifications reviewed.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Defect, complaint, corrective-action, and recall processes assessed.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Key sites, equipment, people, and technology dependencies identified.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Implementation plan, resources, milestones, and acceptance criteria are credible.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Subcontractors and sub-tier suppliers supporting the scope are disclosed.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Performance KPIs, reporting frequency, governance, and escalation are defined.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</w:tbl>
    <w:p>
      <w:r>
        <w:br w:type="page"/>
      </w:r>
    </w:p>
    <w:p>
      <w:pPr>
        <w:pStyle w:val="Heading1"/>
      </w:pPr>
      <w:r>
        <w:t>5. Information Security and Data Protection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720"/>
        <w:gridCol w:w="3600"/>
        <w:gridCol w:w="3600"/>
        <w:gridCol w:w="1440"/>
      </w:tblGrid>
      <w:tr>
        <w:trPr>
          <w:tblHeader w:val="true"/>
        </w:trP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Check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Requirement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Evidence / comments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Risk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Data types, data subjects, processing purpose, and data locations identified.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Security governance, policies, certifications, and independent assurance reviewed.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Identity, access, encryption, vulnerability, and patch controls assessed.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Incident detection, notification, response, and recovery obligations agreed.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Data retention, deletion, return, portability, and exit requirements defined.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Subprocessors, hosting providers, and cross-border transfers disclosed.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Security testing rights and ongoing assurance requirements documented.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</w:tbl>
    <w:p>
      <w:pPr>
        <w:pStyle w:val="Heading1"/>
      </w:pPr>
      <w:r>
        <w:t>6. Ethics, Sanctions, and Responsible Business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720"/>
        <w:gridCol w:w="3600"/>
        <w:gridCol w:w="3600"/>
        <w:gridCol w:w="1440"/>
      </w:tblGrid>
      <w:tr>
        <w:trPr>
          <w:tblHeader w:val="true"/>
        </w:trP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Check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Requirement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Evidence / comments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Risk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Supplier code of conduct acknowledged or equivalent policy accepted.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Sanctions, debarment, politically exposed person, and adverse-media checks completed.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Anti-bribery, anti-corruption, gifts, and conflicts controls reviewed.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Modern slavery, forced labor, child labor, and human-rights controls assessed.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Environmental permits, material impacts, targets, and reporting reviewed.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Whistleblowing, investigation, and remediation mechanisms are credible.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Responsible-sourcing expectations are flowed to relevant sub-tier suppliers.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</w:tbl>
    <w:p>
      <w:r>
        <w:br w:type="page"/>
      </w:r>
    </w:p>
    <w:p>
      <w:pPr>
        <w:pStyle w:val="Heading1"/>
      </w:pPr>
      <w:r>
        <w:t>7. Business Continuity and Supply-Chain Risk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720"/>
        <w:gridCol w:w="3600"/>
        <w:gridCol w:w="3600"/>
        <w:gridCol w:w="1440"/>
      </w:tblGrid>
      <w:tr>
        <w:trPr>
          <w:tblHeader w:val="true"/>
        </w:trP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Check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Requirement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Evidence / comments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Risk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Business-continuity and disaster-recovery plans cover the contracted scope.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Recovery time, recovery point, and minimum-service targets are defined.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Plans are tested; findings, actions, and latest test date are documented.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Single points of failure and geographic, geopolitical, and logistics exposures are mapped.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Alternative capacity, inventory, sites, transport routes, and key-person backups are credible.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  <w:tr>
        <w:tc>
          <w:tcPr>
            <w:tcW w:type="dxa" w:w="7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☐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Notification triggers, crisis contacts, escalation, and joint exercises are agreed.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[Evidence / comments]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 / M / H]</w:t>
            </w:r>
          </w:p>
        </w:tc>
      </w:tr>
    </w:tbl>
    <w:p>
      <w:pPr>
        <w:pStyle w:val="Heading1"/>
      </w:pPr>
      <w:r>
        <w:t>8. Risk Treatment and Approval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1550"/>
        <w:gridCol w:w="1700"/>
        <w:gridCol w:w="2800"/>
        <w:gridCol w:w="1200"/>
        <w:gridCol w:w="1050"/>
        <w:gridCol w:w="1060"/>
      </w:tblGrid>
      <w:tr>
        <w:trPr>
          <w:tblHeader w:val="true"/>
        </w:trPr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Risk / gap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Impact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Required action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Owner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Due date</w:t>
            </w:r>
          </w:p>
        </w:tc>
        <w:tc>
          <w:tcPr>
            <w:tcW w:type="dxa" w:w="1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Status</w:t>
            </w:r>
          </w:p>
        </w:tc>
      </w:tr>
      <w:tr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6"/>
              </w:rPr>
              <w:t>[Risk 1]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6"/>
              </w:rPr>
              <w:t>[Business impact]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6"/>
              </w:rPr>
              <w:t>[Mitigation / condition precedent]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6"/>
              </w:rPr>
              <w:t>[Name]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6"/>
              </w:rPr>
              <w:t>[Date]</w:t>
            </w:r>
          </w:p>
        </w:tc>
        <w:tc>
          <w:tcPr>
            <w:tcW w:type="dxa" w:w="1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6"/>
              </w:rPr>
              <w:t>[Open]</w:t>
            </w:r>
          </w:p>
        </w:tc>
      </w:tr>
      <w:tr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6"/>
              </w:rPr>
              <w:t>[Risk 2]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6"/>
              </w:rPr>
              <w:t>[Business impact]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6"/>
              </w:rPr>
              <w:t>[Mitigation / monitoring]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6"/>
              </w:rPr>
              <w:t>[Name]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6"/>
              </w:rPr>
              <w:t>[Date]</w:t>
            </w:r>
          </w:p>
        </w:tc>
        <w:tc>
          <w:tcPr>
            <w:tcW w:type="dxa" w:w="1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6"/>
              </w:rPr>
              <w:t>[Open]</w:t>
            </w:r>
          </w:p>
        </w:tc>
      </w:tr>
      <w:tr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6"/>
              </w:rPr>
              <w:t>[Risk 3]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6"/>
              </w:rPr>
              <w:t>[Business impact]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6"/>
              </w:rPr>
              <w:t>[Mitigation / acceptance]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6"/>
              </w:rPr>
              <w:t>[Name]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6"/>
              </w:rPr>
              <w:t>[Date]</w:t>
            </w:r>
          </w:p>
        </w:tc>
        <w:tc>
          <w:tcPr>
            <w:tcW w:type="dxa" w:w="1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6"/>
              </w:rPr>
              <w:t>[Open]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2400"/>
        <w:gridCol w:w="6960"/>
      </w:tblGrid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Overall risk rating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[Low / Medium / High / Critical]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Decision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[Approve / Approve with conditions / Reject / Escalate]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Conditions of approval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[Actions that must be complete before award or onboarding]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Monitoring plan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[KPIs, evidence, frequency, triggers, and owner]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Procurement approval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[Name / signature / date]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Business owner approval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[Name / signature / date]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Risk / Legal approval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[Name / signature / date, if required]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64748B"/>
        <w:sz w:val="17"/>
      </w:rPr>
      <w:t xml:space="preserve">anasadham.com  |  Page </w:t>
    </w:r>
    <w:fldChar w:fldCharType="begin"/>
    <w:instrText xml:space="preserve"> PAGE 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i w:val="0"/>
        <w:color w:val="64748B"/>
        <w:sz w:val="17"/>
      </w:rPr>
      <w:t>ANAS ALADHAM  |  PROCUREMENT TEMPLATES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E293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