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40"/>
      </w:pPr>
      <w:r>
        <w:rPr>
          <w:rFonts w:ascii="Calibri" w:hAnsi="Calibri"/>
          <w:b/>
          <w:i w:val="0"/>
          <w:color w:val="2563EB"/>
          <w:sz w:val="18"/>
        </w:rPr>
        <w:t>FREE PROCUREMENT TEMPLATE</w:t>
      </w:r>
    </w:p>
    <w:p>
      <w:pPr>
        <w:keepNext/>
        <w:spacing w:before="0" w:after="120"/>
      </w:pPr>
      <w:r>
        <w:rPr>
          <w:rFonts w:ascii="Calibri" w:hAnsi="Calibri"/>
          <w:b/>
          <w:i w:val="0"/>
          <w:color w:val="0F172A"/>
          <w:sz w:val="56"/>
        </w:rPr>
        <w:t>Request for Proposal (RFP) Template</w:t>
      </w:r>
    </w:p>
    <w:p>
      <w:pPr>
        <w:spacing w:before="0" w:after="280"/>
      </w:pPr>
      <w:r>
        <w:rPr>
          <w:rFonts w:ascii="Calibri" w:hAnsi="Calibri"/>
          <w:b w:val="0"/>
          <w:i w:val="0"/>
          <w:color w:val="64748B"/>
          <w:sz w:val="26"/>
        </w:rPr>
        <w:t>A structured, category-ready document for competitive sourcing events.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</w:tblPr>
      <w:tblGrid>
        <w:gridCol w:w="1800"/>
        <w:gridCol w:w="7560"/>
      </w:tblGrid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Purpose</w:t>
            </w:r>
          </w:p>
        </w:tc>
        <w:tc>
          <w:tcPr>
            <w:tcW w:type="dxa" w:w="7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Define requirements clearly, obtain comparable supplier proposals, and document an objective evaluation process.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How to use</w:t>
            </w:r>
          </w:p>
        </w:tc>
        <w:tc>
          <w:tcPr>
            <w:tcW w:type="dxa" w:w="7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Replace bracketed prompts, adapt the criteria to your category, and retain an auditable approval trail.</w:t>
            </w:r>
          </w:p>
        </w:tc>
      </w:tr>
    </w:tbl>
    <w:p/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</w:tblPr>
      <w:tblGrid>
        <w:gridCol w:w="9360"/>
      </w:tblGrid>
      <w:t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EF3C7"/>
          </w:tcPr>
          <w:p>
            <w:r>
              <w:rPr>
                <w:rFonts w:ascii="Calibri" w:hAnsi="Calibri"/>
                <w:b/>
                <w:i w:val="0"/>
                <w:color w:val="1F4D78"/>
                <w:sz w:val="20"/>
              </w:rPr>
              <w:t xml:space="preserve">Before issuing: </w:t>
            </w:r>
            <w:r>
              <w:rPr>
                <w:rFonts w:ascii="Calibri" w:hAnsi="Calibri"/>
                <w:b w:val="0"/>
                <w:i w:val="0"/>
                <w:color w:val="1E293B"/>
                <w:sz w:val="20"/>
              </w:rPr>
              <w:t>Ask legal, finance, information security, and operational stakeholders to review the sections relevant to the category.</w:t>
            </w:r>
          </w:p>
        </w:tc>
      </w:tr>
    </w:tbl>
    <w:p/>
    <w:p>
      <w:pPr>
        <w:pStyle w:val="Heading1"/>
      </w:pPr>
      <w:r>
        <w:t>1. RFP Overview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</w:tblPr>
      <w:tblGrid>
        <w:gridCol w:w="2400"/>
        <w:gridCol w:w="6960"/>
      </w:tblGrid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RFP title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[Enter sourcing event title]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Reference number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[RFP-YYYY-###]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Category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[Enter category or service]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Issuing organization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[Organization name]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Procurement owner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[Name and title]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Issue date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[YYYY-MM-DD]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Clarification deadline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[YYYY-MM-DD, time zone]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Proposal deadline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[YYYY-MM-DD, time zone]</w:t>
            </w:r>
          </w:p>
        </w:tc>
      </w:tr>
    </w:tbl>
    <w:p>
      <w:pPr>
        <w:pStyle w:val="Heading1"/>
      </w:pPr>
      <w:r>
        <w:t>2. Business Context and Objectives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</w:tblPr>
      <w:tblGrid>
        <w:gridCol w:w="2400"/>
        <w:gridCol w:w="6960"/>
      </w:tblGrid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Business context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[Describe the current environment, demand, pain points, and reason for sourcing.]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Desired outcomes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[List the measurable operational, commercial, risk, and user outcomes.]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In scope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[Describe sites, countries, business units, products, services, and volumes.]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Out of scope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[State exclusions to prevent assumptions.]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Contract term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[Initial term, extension options, expected start date]</w:t>
            </w:r>
          </w:p>
        </w:tc>
      </w:tr>
    </w:tbl>
    <w:p>
      <w:pPr>
        <w:pStyle w:val="Heading1"/>
      </w:pPr>
      <w:r>
        <w:t>3. Scope of Work and Deliverables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</w:tblPr>
      <w:tblGrid>
        <w:gridCol w:w="1800"/>
        <w:gridCol w:w="4800"/>
        <w:gridCol w:w="1380"/>
        <w:gridCol w:w="1380"/>
      </w:tblGrid>
      <w:tr>
        <w:trPr>
          <w:tblHeader w:val="true"/>
        </w:trP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Workstream</w:t>
            </w:r>
          </w:p>
        </w:tc>
        <w:tc>
          <w:tcPr>
            <w:tcW w:type="dxa" w:w="4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Requirement or deliverable</w:t>
            </w:r>
          </w:p>
        </w:tc>
        <w:tc>
          <w:tcPr>
            <w:tcW w:type="dxa" w:w="13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Priority</w:t>
            </w:r>
          </w:p>
        </w:tc>
        <w:tc>
          <w:tcPr>
            <w:tcW w:type="dxa" w:w="13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Supplier response reference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[Workstream 1]</w:t>
            </w:r>
          </w:p>
        </w:tc>
        <w:tc>
          <w:tcPr>
            <w:tcW w:type="dxa" w:w="4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[Describe deliverable, volume, location, service level, and acceptance criteria.]</w:t>
            </w:r>
          </w:p>
        </w:tc>
        <w:tc>
          <w:tcPr>
            <w:tcW w:type="dxa" w:w="13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[Mandatory / Optional]</w:t>
            </w:r>
          </w:p>
        </w:tc>
        <w:tc>
          <w:tcPr>
            <w:tcW w:type="dxa" w:w="13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[Section / attachment]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[Workstream 2]</w:t>
            </w:r>
          </w:p>
        </w:tc>
        <w:tc>
          <w:tcPr>
            <w:tcW w:type="dxa" w:w="4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[Describe deliverable, dependency, milestone, and reporting expectation.]</w:t>
            </w:r>
          </w:p>
        </w:tc>
        <w:tc>
          <w:tcPr>
            <w:tcW w:type="dxa" w:w="13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[Mandatory / Optional]</w:t>
            </w:r>
          </w:p>
        </w:tc>
        <w:tc>
          <w:tcPr>
            <w:tcW w:type="dxa" w:w="13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[Section / attachment]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[Workstream 3]</w:t>
            </w:r>
          </w:p>
        </w:tc>
        <w:tc>
          <w:tcPr>
            <w:tcW w:type="dxa" w:w="4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[Add row as needed.]</w:t>
            </w:r>
          </w:p>
        </w:tc>
        <w:tc>
          <w:tcPr>
            <w:tcW w:type="dxa" w:w="13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[Mandatory / Optional]</w:t>
            </w:r>
          </w:p>
        </w:tc>
        <w:tc>
          <w:tcPr>
            <w:tcW w:type="dxa" w:w="13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[Section / attachment]</w:t>
            </w:r>
          </w:p>
        </w:tc>
      </w:tr>
    </w:tbl>
    <w:p>
      <w:r>
        <w:br w:type="page"/>
      </w:r>
    </w:p>
    <w:p>
      <w:pPr>
        <w:pStyle w:val="Heading1"/>
      </w:pPr>
      <w:r>
        <w:t>4. Supplier Response Requirements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</w:tblPr>
      <w:tblGrid>
        <w:gridCol w:w="1800"/>
        <w:gridCol w:w="4260"/>
        <w:gridCol w:w="1800"/>
        <w:gridCol w:w="1500"/>
      </w:tblGrid>
      <w:tr>
        <w:trPr>
          <w:tblHeader w:val="true"/>
        </w:trP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Requirement area</w:t>
            </w:r>
          </w:p>
        </w:tc>
        <w:tc>
          <w:tcPr>
            <w:tcW w:type="dxa" w:w="4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Supplier response requested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Evidence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Compliance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Company profile</w:t>
            </w:r>
          </w:p>
        </w:tc>
        <w:tc>
          <w:tcPr>
            <w:tcW w:type="dxa" w:w="4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Legal entity, ownership, operating locations, years in business, and relevant experience.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[Attachment]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[Yes / Partial / No]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Delivery model</w:t>
            </w:r>
          </w:p>
        </w:tc>
        <w:tc>
          <w:tcPr>
            <w:tcW w:type="dxa" w:w="4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Proposed operating model, resources, implementation approach, and governance.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[Proposal section]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[Yes / Partial / No]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Capacity and continuity</w:t>
            </w:r>
          </w:p>
        </w:tc>
        <w:tc>
          <w:tcPr>
            <w:tcW w:type="dxa" w:w="4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Capacity constraints, critical dependencies, recovery plans, and alternative supply routes.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[BCP / capacity plan]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[Yes / Partial / No]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Quality</w:t>
            </w:r>
          </w:p>
        </w:tc>
        <w:tc>
          <w:tcPr>
            <w:tcW w:type="dxa" w:w="4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Quality management system, certifications, controls, corrective-action process, and KPIs.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[Certificates / process]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[Yes / Partial / No]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Information security</w:t>
            </w:r>
          </w:p>
        </w:tc>
        <w:tc>
          <w:tcPr>
            <w:tcW w:type="dxa" w:w="4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Security controls, data location, incident response, access management, and subcontractors.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[Security pack]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[Yes / Partial / No]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ESG and ethics</w:t>
            </w:r>
          </w:p>
        </w:tc>
        <w:tc>
          <w:tcPr>
            <w:tcW w:type="dxa" w:w="4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Code of conduct, human-rights due diligence, emissions data, and responsible-sourcing controls.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[Policies / data]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[Yes / Partial / No]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References</w:t>
            </w:r>
          </w:p>
        </w:tc>
        <w:tc>
          <w:tcPr>
            <w:tcW w:type="dxa" w:w="4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Two relevant customer references for comparable scope and complexity.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[Contact details]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[Yes / Partial / No]</w:t>
            </w:r>
          </w:p>
        </w:tc>
      </w:tr>
    </w:tbl>
    <w:p>
      <w:pPr>
        <w:pStyle w:val="Heading1"/>
      </w:pPr>
      <w:r>
        <w:t>5. Commercial Response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</w:tblPr>
      <w:tblGrid>
        <w:gridCol w:w="9360"/>
      </w:tblGrid>
      <w:t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FF6FF"/>
          </w:tcPr>
          <w:p>
            <w:r>
              <w:rPr>
                <w:rFonts w:ascii="Calibri" w:hAnsi="Calibri"/>
                <w:b/>
                <w:i w:val="0"/>
                <w:color w:val="1F4D78"/>
                <w:sz w:val="20"/>
              </w:rPr>
              <w:t xml:space="preserve">Pricing rule: </w:t>
            </w:r>
            <w:r>
              <w:rPr>
                <w:rFonts w:ascii="Calibri" w:hAnsi="Calibri"/>
                <w:b w:val="0"/>
                <w:i w:val="0"/>
                <w:color w:val="1E293B"/>
                <w:sz w:val="20"/>
              </w:rPr>
              <w:t>Require suppliers to use the same price basis, volume assumptions, currency, taxes, and validity period so bids remain comparable.</w:t>
            </w:r>
          </w:p>
        </w:tc>
      </w:tr>
    </w:tbl>
    <w:p/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</w:tblPr>
      <w:tblGrid>
        <w:gridCol w:w="1700"/>
        <w:gridCol w:w="1000"/>
        <w:gridCol w:w="1300"/>
        <w:gridCol w:w="1300"/>
        <w:gridCol w:w="1700"/>
        <w:gridCol w:w="2360"/>
      </w:tblGrid>
      <w:tr>
        <w:trPr>
          <w:tblHeader w:val="true"/>
        </w:trP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Price component</w:t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Unit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Estimated volume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Unit price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Extended price</w:t>
            </w:r>
          </w:p>
        </w:tc>
        <w:tc>
          <w:tcPr>
            <w:tcW w:type="dxa" w:w="2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Notes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[Component 1]</w:t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[Unit]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[Volume]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[Currency]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[Formula / value]</w:t>
            </w:r>
          </w:p>
        </w:tc>
        <w:tc>
          <w:tcPr>
            <w:tcW w:type="dxa" w:w="2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[Assumptions]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[Component 2]</w:t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[Unit]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[Volume]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[Currency]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[Formula / value]</w:t>
            </w:r>
          </w:p>
        </w:tc>
        <w:tc>
          <w:tcPr>
            <w:tcW w:type="dxa" w:w="2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[Assumptions]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Implementation</w:t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One-time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1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[Currency]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[Value]</w:t>
            </w:r>
          </w:p>
        </w:tc>
        <w:tc>
          <w:tcPr>
            <w:tcW w:type="dxa" w:w="2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[Milestones]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Optional services</w:t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[Unit]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[Volume]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[Currency]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[Value]</w:t>
            </w:r>
          </w:p>
        </w:tc>
        <w:tc>
          <w:tcPr>
            <w:tcW w:type="dxa" w:w="2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[Validity]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</w:tblPr>
      <w:tblGrid>
        <w:gridCol w:w="2400"/>
        <w:gridCol w:w="6960"/>
      </w:tblGrid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Currency and taxes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[Specify currency, VAT/tax treatment, and exchange-rate assumption.]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Price validity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[Minimum validity period]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Payment terms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[Required payment terms]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Indexation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[Allowed mechanism, evidence, frequency, cap, and notice period]</w:t>
            </w:r>
          </w:p>
        </w:tc>
      </w:tr>
    </w:tbl>
    <w:p>
      <w:r>
        <w:br w:type="page"/>
      </w:r>
    </w:p>
    <w:p>
      <w:pPr>
        <w:pStyle w:val="Heading1"/>
      </w:pPr>
      <w:r>
        <w:t>6. Evaluation Method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</w:tblPr>
      <w:tblGrid>
        <w:gridCol w:w="2100"/>
        <w:gridCol w:w="1050"/>
        <w:gridCol w:w="5010"/>
        <w:gridCol w:w="1200"/>
      </w:tblGrid>
      <w:tr>
        <w:trPr>
          <w:tblHeader w:val="true"/>
        </w:trPr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Criterion</w:t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Weight</w:t>
            </w:r>
          </w:p>
        </w:tc>
        <w:tc>
          <w:tcPr>
            <w:tcW w:type="dxa" w:w="50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What will be evaluated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Score (0-5)</w:t>
            </w:r>
          </w:p>
        </w:tc>
      </w:tr>
      <w:tr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Technical and scope fit</w:t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30%</w:t>
            </w:r>
          </w:p>
        </w:tc>
        <w:tc>
          <w:tcPr>
            <w:tcW w:type="dxa" w:w="50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Completeness, solution quality, deliverability, and acceptance criteria.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 ]</w:t>
            </w:r>
          </w:p>
        </w:tc>
      </w:tr>
      <w:tr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Commercial value</w:t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25%</w:t>
            </w:r>
          </w:p>
        </w:tc>
        <w:tc>
          <w:tcPr>
            <w:tcW w:type="dxa" w:w="50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Total cost, transparency, price validity, and contract terms.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 ]</w:t>
            </w:r>
          </w:p>
        </w:tc>
      </w:tr>
      <w:tr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Implementation</w:t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15%</w:t>
            </w:r>
          </w:p>
        </w:tc>
        <w:tc>
          <w:tcPr>
            <w:tcW w:type="dxa" w:w="50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Plan, resources, timeline, dependencies, and change management.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 ]</w:t>
            </w:r>
          </w:p>
        </w:tc>
      </w:tr>
      <w:tr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Risk and resilience</w:t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15%</w:t>
            </w:r>
          </w:p>
        </w:tc>
        <w:tc>
          <w:tcPr>
            <w:tcW w:type="dxa" w:w="50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Continuity, capacity, cyber, compliance, and subcontractor risk.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 ]</w:t>
            </w:r>
          </w:p>
        </w:tc>
      </w:tr>
      <w:tr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Supplier capability</w:t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10%</w:t>
            </w:r>
          </w:p>
        </w:tc>
        <w:tc>
          <w:tcPr>
            <w:tcW w:type="dxa" w:w="50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Relevant experience, governance, references, and team.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 ]</w:t>
            </w:r>
          </w:p>
        </w:tc>
      </w:tr>
      <w:tr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Responsible value</w:t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5%</w:t>
            </w:r>
          </w:p>
        </w:tc>
        <w:tc>
          <w:tcPr>
            <w:tcW w:type="dxa" w:w="50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Sustainability, ethics, innovation, and measurable improvement.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 ]</w:t>
            </w:r>
          </w:p>
        </w:tc>
      </w:tr>
      <w:tr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Total</w:t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100%</w:t>
            </w:r>
          </w:p>
        </w:tc>
        <w:tc>
          <w:tcPr>
            <w:tcW w:type="dxa" w:w="50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Weighted scoring should be documented separately.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 ]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</w:tblPr>
      <w:tblGrid>
        <w:gridCol w:w="9360"/>
      </w:tblGrid>
      <w:t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FF6FF"/>
          </w:tcPr>
          <w:p>
            <w:r>
              <w:rPr>
                <w:rFonts w:ascii="Calibri" w:hAnsi="Calibri"/>
                <w:b/>
                <w:i w:val="0"/>
                <w:color w:val="1F4D78"/>
                <w:sz w:val="20"/>
              </w:rPr>
              <w:t xml:space="preserve">Scoring scale: </w:t>
            </w:r>
            <w:r>
              <w:rPr>
                <w:rFonts w:ascii="Calibri" w:hAnsi="Calibri"/>
                <w:b w:val="0"/>
                <w:i w:val="0"/>
                <w:color w:val="1E293B"/>
                <w:sz w:val="20"/>
              </w:rPr>
              <w:t>0 = no response; 1 = materially deficient; 2 = partially meets; 3 = meets; 4 = exceeds; 5 = materially exceeds with credible evidence.</w:t>
            </w:r>
          </w:p>
        </w:tc>
      </w:tr>
    </w:tbl>
    <w:p/>
    <w:p>
      <w:pPr>
        <w:pStyle w:val="Heading1"/>
      </w:pPr>
      <w:r>
        <w:t>7. Procurement Timetable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</w:tblPr>
      <w:tblGrid>
        <w:gridCol w:w="3300"/>
        <w:gridCol w:w="1800"/>
        <w:gridCol w:w="1800"/>
        <w:gridCol w:w="2460"/>
      </w:tblGrid>
      <w:tr>
        <w:trPr>
          <w:tblHeader w:val="true"/>
        </w:trPr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Milestone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Date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Owner</w:t>
            </w:r>
          </w:p>
        </w:tc>
        <w:tc>
          <w:tcPr>
            <w:tcW w:type="dxa" w:w="2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RFP issued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[YYYY-MM-DD]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Procurement</w:t>
            </w:r>
          </w:p>
        </w:tc>
        <w:tc>
          <w:tcPr>
            <w:tcW w:type="dxa" w:w="2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</w:r>
          </w:p>
        </w:tc>
      </w:tr>
      <w:tr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Supplier questions due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[YYYY-MM-DD]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Suppliers</w:t>
            </w:r>
          </w:p>
        </w:tc>
        <w:tc>
          <w:tcPr>
            <w:tcW w:type="dxa" w:w="2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Use the clarification log.</w:t>
            </w:r>
          </w:p>
        </w:tc>
      </w:tr>
      <w:tr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Responses issued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[YYYY-MM-DD]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Procurement</w:t>
            </w:r>
          </w:p>
        </w:tc>
        <w:tc>
          <w:tcPr>
            <w:tcW w:type="dxa" w:w="2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Share the same information with all bidders.</w:t>
            </w:r>
          </w:p>
        </w:tc>
      </w:tr>
      <w:tr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Proposal deadline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[YYYY-MM-DD]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Suppliers</w:t>
            </w:r>
          </w:p>
        </w:tc>
        <w:tc>
          <w:tcPr>
            <w:tcW w:type="dxa" w:w="2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Late-submission rule: [enter].</w:t>
            </w:r>
          </w:p>
        </w:tc>
      </w:tr>
      <w:tr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Evaluation and presentations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[Date range]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Evaluation team</w:t>
            </w:r>
          </w:p>
        </w:tc>
        <w:tc>
          <w:tcPr>
            <w:tcW w:type="dxa" w:w="2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</w:r>
          </w:p>
        </w:tc>
      </w:tr>
      <w:tr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Negotiation / BAFO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[Date range]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Procurement</w:t>
            </w:r>
          </w:p>
        </w:tc>
        <w:tc>
          <w:tcPr>
            <w:tcW w:type="dxa" w:w="2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BAFO = best and final offer.</w:t>
            </w:r>
          </w:p>
        </w:tc>
      </w:tr>
      <w:tr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Award notification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[YYYY-MM-DD]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Procurement</w:t>
            </w:r>
          </w:p>
        </w:tc>
        <w:tc>
          <w:tcPr>
            <w:tcW w:type="dxa" w:w="2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Subject to approvals and contract.</w:t>
            </w:r>
          </w:p>
        </w:tc>
      </w:tr>
      <w:tr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Target contract signature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[YYYY-MM-DD]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Legal / Procurement</w:t>
            </w:r>
          </w:p>
        </w:tc>
        <w:tc>
          <w:tcPr>
            <w:tcW w:type="dxa" w:w="2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</w:r>
          </w:p>
        </w:tc>
      </w:tr>
    </w:tbl>
    <w:p>
      <w:pPr>
        <w:pStyle w:val="Heading1"/>
      </w:pPr>
      <w:r>
        <w:t>8. Submission Instructions and Conditions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</w:tblPr>
      <w:tblGrid>
        <w:gridCol w:w="2400"/>
        <w:gridCol w:w="6960"/>
      </w:tblGrid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Submission channel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[Portal / email / secure link and naming convention]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Response format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[Required sections, file formats, page limits, and attachments]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Authorized contact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[Name, title, email]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Confidentiality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[Applicable NDA and handling requirements]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Conflicts of interest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[Supplier declaration requirement]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Reservation of rights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[Right to amend, reject, negotiate, or cancel the process subject to policy and law]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 w:val="0"/>
        <w:i w:val="0"/>
        <w:color w:val="64748B"/>
        <w:sz w:val="17"/>
      </w:rPr>
      <w:t xml:space="preserve">anasadham.com  |  Page </w:t>
    </w:r>
    <w:fldChar w:fldCharType="begin"/>
    <w:instrText xml:space="preserve"> PAGE 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b/>
        <w:i w:val="0"/>
        <w:color w:val="64748B"/>
        <w:sz w:val="17"/>
      </w:rPr>
      <w:t>ANAS ALADHAM  |  PROCUREMENT TEMPLATES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E293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